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861" w:rsidRPr="002B11D3" w:rsidRDefault="00AD554D" w:rsidP="00C37732">
      <w:pPr>
        <w:pStyle w:val="a7"/>
        <w:spacing w:before="0" w:beforeAutospacing="0" w:after="0" w:afterAutospacing="0" w:line="560" w:lineRule="atLeast"/>
        <w:ind w:firstLineChars="200" w:firstLine="640"/>
        <w:contextualSpacing/>
        <w:jc w:val="center"/>
        <w:rPr>
          <w:rFonts w:ascii="微软雅黑" w:eastAsia="微软雅黑" w:hAnsi="微软雅黑"/>
          <w:b/>
          <w:bCs/>
          <w:sz w:val="32"/>
          <w:szCs w:val="32"/>
        </w:rPr>
      </w:pPr>
      <w:r w:rsidRPr="002B11D3">
        <w:rPr>
          <w:rFonts w:ascii="微软雅黑" w:eastAsia="微软雅黑" w:hAnsi="微软雅黑" w:hint="eastAsia"/>
          <w:b/>
          <w:bCs/>
          <w:sz w:val="32"/>
          <w:szCs w:val="32"/>
        </w:rPr>
        <w:t>平安医疗健康管理股份有限公司</w:t>
      </w:r>
    </w:p>
    <w:p w:rsidR="00AD554D" w:rsidRPr="002B11D3" w:rsidRDefault="00972861" w:rsidP="00C37732">
      <w:pPr>
        <w:pStyle w:val="a7"/>
        <w:spacing w:before="0" w:beforeAutospacing="0" w:after="0" w:afterAutospacing="0" w:line="560" w:lineRule="atLeast"/>
        <w:ind w:firstLineChars="200" w:firstLine="640"/>
        <w:contextualSpacing/>
        <w:jc w:val="center"/>
        <w:rPr>
          <w:rFonts w:ascii="微软雅黑" w:eastAsia="微软雅黑" w:hAnsi="微软雅黑"/>
          <w:b/>
          <w:bCs/>
          <w:sz w:val="32"/>
          <w:szCs w:val="32"/>
        </w:rPr>
      </w:pPr>
      <w:r w:rsidRPr="002B11D3">
        <w:rPr>
          <w:rFonts w:ascii="微软雅黑" w:eastAsia="微软雅黑" w:hAnsi="微软雅黑" w:hint="eastAsia"/>
          <w:b/>
          <w:bCs/>
          <w:sz w:val="32"/>
          <w:szCs w:val="32"/>
        </w:rPr>
        <w:t>山东分公司招聘简章</w:t>
      </w:r>
      <w:r w:rsidR="00AD554D" w:rsidRPr="002B11D3">
        <w:rPr>
          <w:rFonts w:ascii="微软雅黑" w:eastAsia="微软雅黑" w:hAnsi="微软雅黑" w:hint="eastAsia"/>
          <w:b/>
          <w:bCs/>
          <w:sz w:val="32"/>
          <w:szCs w:val="32"/>
        </w:rPr>
        <w:t xml:space="preserve"> </w:t>
      </w:r>
    </w:p>
    <w:p w:rsidR="00AD554D" w:rsidRPr="002B11D3" w:rsidRDefault="00AD554D" w:rsidP="00C37732">
      <w:pPr>
        <w:spacing w:line="560" w:lineRule="atLeast"/>
        <w:ind w:firstLineChars="200" w:firstLine="420"/>
        <w:contextualSpacing/>
        <w:jc w:val="left"/>
        <w:rPr>
          <w:rFonts w:ascii="微软雅黑" w:eastAsia="微软雅黑" w:hAnsi="微软雅黑"/>
          <w:szCs w:val="21"/>
        </w:rPr>
      </w:pPr>
      <w:r w:rsidRPr="002B11D3">
        <w:rPr>
          <w:rFonts w:ascii="微软雅黑" w:eastAsia="微软雅黑" w:hAnsi="微软雅黑" w:hint="eastAsia"/>
          <w:szCs w:val="21"/>
        </w:rPr>
        <w:t>中国平安保险（集团）股份有限公司（以下简称</w:t>
      </w:r>
      <w:r w:rsidRPr="002B11D3">
        <w:rPr>
          <w:rFonts w:ascii="微软雅黑" w:eastAsia="微软雅黑" w:hAnsi="微软雅黑" w:cs="Arial"/>
          <w:szCs w:val="21"/>
        </w:rPr>
        <w:t>“</w:t>
      </w:r>
      <w:r w:rsidRPr="002B11D3">
        <w:rPr>
          <w:rFonts w:ascii="微软雅黑" w:eastAsia="微软雅黑" w:hAnsi="微软雅黑" w:hint="eastAsia"/>
          <w:szCs w:val="21"/>
        </w:rPr>
        <w:t>中国平安</w:t>
      </w:r>
      <w:r w:rsidRPr="002B11D3">
        <w:rPr>
          <w:rFonts w:ascii="微软雅黑" w:eastAsia="微软雅黑" w:hAnsi="微软雅黑" w:cs="Arial"/>
          <w:szCs w:val="21"/>
        </w:rPr>
        <w:t>”</w:t>
      </w:r>
      <w:r w:rsidRPr="002B11D3">
        <w:rPr>
          <w:rFonts w:ascii="微软雅黑" w:eastAsia="微软雅黑" w:hAnsi="微软雅黑" w:hint="eastAsia"/>
          <w:szCs w:val="21"/>
        </w:rPr>
        <w:t>）是中国第一家股份制保险企业，至今已发展成为融保险、银行、投资三大主营业务为一体、核心金融与互联网金融业务并行发展的个人金融生活服务集团之一。</w:t>
      </w:r>
    </w:p>
    <w:p w:rsidR="006D7EE9" w:rsidRPr="002B11D3" w:rsidRDefault="006D7EE9" w:rsidP="00C37732">
      <w:pPr>
        <w:spacing w:line="560" w:lineRule="atLeast"/>
        <w:ind w:firstLineChars="200" w:firstLine="420"/>
        <w:contextualSpacing/>
        <w:jc w:val="left"/>
        <w:rPr>
          <w:rFonts w:ascii="微软雅黑" w:eastAsia="微软雅黑" w:hAnsi="微软雅黑"/>
          <w:szCs w:val="21"/>
        </w:rPr>
      </w:pPr>
      <w:r w:rsidRPr="002B11D3">
        <w:rPr>
          <w:rFonts w:ascii="微软雅黑" w:eastAsia="微软雅黑" w:hAnsi="微软雅黑" w:cs="Arial"/>
          <w:szCs w:val="21"/>
        </w:rPr>
        <w:t>2017</w:t>
      </w:r>
      <w:r w:rsidRPr="002B11D3">
        <w:rPr>
          <w:rFonts w:ascii="微软雅黑" w:eastAsia="微软雅黑" w:hAnsi="微软雅黑" w:cs="Arial" w:hint="eastAsia"/>
          <w:szCs w:val="21"/>
        </w:rPr>
        <w:t>年</w:t>
      </w:r>
      <w:r w:rsidRPr="002B11D3">
        <w:rPr>
          <w:rFonts w:ascii="微软雅黑" w:eastAsia="微软雅黑" w:hAnsi="微软雅黑" w:cs="Arial"/>
          <w:szCs w:val="21"/>
        </w:rPr>
        <w:t>，</w:t>
      </w:r>
      <w:hyperlink r:id="rId8" w:tgtFrame="_blank" w:tooltip="中国平安荣登《福布斯》全球2000强第16位 居全球多元保险企业第一" w:history="1">
        <w:r w:rsidRPr="002B11D3">
          <w:rPr>
            <w:rStyle w:val="aa"/>
            <w:rFonts w:ascii="微软雅黑" w:eastAsia="微软雅黑" w:hAnsi="微软雅黑" w:cs="Arial"/>
            <w:color w:val="auto"/>
            <w:szCs w:val="21"/>
          </w:rPr>
          <w:t>中国平安荣登《福布斯》全球2000强第16位</w:t>
        </w:r>
        <w:r w:rsidRPr="002B11D3">
          <w:rPr>
            <w:rStyle w:val="aa"/>
            <w:rFonts w:ascii="微软雅黑" w:eastAsia="微软雅黑" w:hAnsi="微软雅黑" w:cs="Arial" w:hint="eastAsia"/>
            <w:color w:val="auto"/>
            <w:szCs w:val="21"/>
          </w:rPr>
          <w:t>，</w:t>
        </w:r>
        <w:r w:rsidRPr="002B11D3">
          <w:rPr>
            <w:rStyle w:val="aa"/>
            <w:rFonts w:ascii="微软雅黑" w:eastAsia="微软雅黑" w:hAnsi="微软雅黑" w:cs="Arial"/>
            <w:color w:val="auto"/>
            <w:szCs w:val="21"/>
          </w:rPr>
          <w:t>居全球多元保险企业第一</w:t>
        </w:r>
      </w:hyperlink>
      <w:r w:rsidRPr="002B11D3">
        <w:rPr>
          <w:rFonts w:ascii="微软雅黑" w:eastAsia="微软雅黑" w:hAnsi="微软雅黑" w:hint="eastAsia"/>
          <w:szCs w:val="21"/>
        </w:rPr>
        <w:t>；美国《财富》杂志</w:t>
      </w:r>
      <w:r w:rsidRPr="002B11D3">
        <w:rPr>
          <w:rFonts w:ascii="微软雅黑" w:eastAsia="微软雅黑" w:hAnsi="微软雅黑" w:cs="Arial"/>
          <w:szCs w:val="21"/>
        </w:rPr>
        <w:t>“</w:t>
      </w:r>
      <w:r w:rsidRPr="002B11D3">
        <w:rPr>
          <w:rFonts w:ascii="微软雅黑" w:eastAsia="微软雅黑" w:hAnsi="微软雅黑" w:hint="eastAsia"/>
          <w:szCs w:val="21"/>
        </w:rPr>
        <w:t>全球领先企业</w:t>
      </w:r>
      <w:r w:rsidRPr="002B11D3">
        <w:rPr>
          <w:rFonts w:ascii="微软雅黑" w:eastAsia="微软雅黑" w:hAnsi="微软雅黑" w:cs="Arial"/>
          <w:szCs w:val="21"/>
        </w:rPr>
        <w:t>500</w:t>
      </w:r>
      <w:r w:rsidRPr="002B11D3">
        <w:rPr>
          <w:rFonts w:ascii="微软雅黑" w:eastAsia="微软雅黑" w:hAnsi="微软雅黑" w:hint="eastAsia"/>
          <w:szCs w:val="21"/>
        </w:rPr>
        <w:t>强</w:t>
      </w:r>
      <w:r w:rsidRPr="002B11D3">
        <w:rPr>
          <w:rFonts w:ascii="微软雅黑" w:eastAsia="微软雅黑" w:hAnsi="微软雅黑" w:cs="Arial"/>
          <w:szCs w:val="21"/>
        </w:rPr>
        <w:t>”</w:t>
      </w:r>
      <w:r w:rsidRPr="002B11D3">
        <w:rPr>
          <w:rFonts w:ascii="微软雅黑" w:eastAsia="微软雅黑" w:hAnsi="微软雅黑" w:hint="eastAsia"/>
          <w:szCs w:val="21"/>
        </w:rPr>
        <w:t>名列第39位；除此之外，在英国</w:t>
      </w:r>
      <w:r w:rsidRPr="002B11D3">
        <w:rPr>
          <w:rFonts w:ascii="微软雅黑" w:eastAsia="微软雅黑" w:hAnsi="微软雅黑" w:cs="Arial"/>
          <w:szCs w:val="21"/>
        </w:rPr>
        <w:t>WPP</w:t>
      </w:r>
      <w:r w:rsidRPr="002B11D3">
        <w:rPr>
          <w:rFonts w:ascii="微软雅黑" w:eastAsia="微软雅黑" w:hAnsi="微软雅黑" w:hint="eastAsia"/>
          <w:szCs w:val="21"/>
        </w:rPr>
        <w:t>集团旗下</w:t>
      </w:r>
      <w:r w:rsidRPr="002B11D3">
        <w:rPr>
          <w:rFonts w:ascii="微软雅黑" w:eastAsia="微软雅黑" w:hAnsi="微软雅黑" w:cs="Arial"/>
          <w:szCs w:val="21"/>
        </w:rPr>
        <w:t>Millward Brown</w:t>
      </w:r>
      <w:r w:rsidRPr="002B11D3">
        <w:rPr>
          <w:rFonts w:ascii="微软雅黑" w:eastAsia="微软雅黑" w:hAnsi="微软雅黑" w:hint="eastAsia"/>
          <w:szCs w:val="21"/>
        </w:rPr>
        <w:t>公布的</w:t>
      </w:r>
      <w:hyperlink r:id="rId9" w:tgtFrame="_blank" w:tooltip="BrandZ 2017最具价值全球品牌100强出炉  中国平安蝉联全球保险第一品牌" w:history="1">
        <w:r w:rsidRPr="002B11D3">
          <w:rPr>
            <w:rStyle w:val="aa"/>
            <w:rFonts w:ascii="微软雅黑" w:eastAsia="微软雅黑" w:hAnsi="微软雅黑" w:cs="Arial"/>
            <w:color w:val="auto"/>
            <w:szCs w:val="21"/>
          </w:rPr>
          <w:t>BrandZ 2017最具价值全球品牌100强</w:t>
        </w:r>
        <w:r w:rsidRPr="002B11D3">
          <w:rPr>
            <w:rStyle w:val="aa"/>
            <w:rFonts w:ascii="微软雅黑" w:eastAsia="微软雅黑" w:hAnsi="微软雅黑" w:cs="Arial" w:hint="eastAsia"/>
            <w:color w:val="auto"/>
            <w:szCs w:val="21"/>
          </w:rPr>
          <w:t>中，</w:t>
        </w:r>
        <w:r w:rsidRPr="002B11D3">
          <w:rPr>
            <w:rStyle w:val="aa"/>
            <w:rFonts w:ascii="微软雅黑" w:eastAsia="微软雅黑" w:hAnsi="微软雅黑" w:cs="Arial"/>
            <w:color w:val="auto"/>
            <w:szCs w:val="21"/>
          </w:rPr>
          <w:t>蝉联全球保险第一品牌</w:t>
        </w:r>
      </w:hyperlink>
      <w:r w:rsidRPr="002B11D3">
        <w:rPr>
          <w:rFonts w:ascii="微软雅黑" w:eastAsia="微软雅黑" w:hAnsi="微软雅黑" w:hint="eastAsia"/>
          <w:szCs w:val="21"/>
        </w:rPr>
        <w:t>；在全球最大的品牌咨询公司</w:t>
      </w:r>
      <w:r w:rsidRPr="002B11D3">
        <w:rPr>
          <w:rFonts w:ascii="微软雅黑" w:eastAsia="微软雅黑" w:hAnsi="微软雅黑" w:cs="Arial"/>
          <w:szCs w:val="21"/>
        </w:rPr>
        <w:t>Interbrand</w:t>
      </w:r>
      <w:r w:rsidRPr="002B11D3">
        <w:rPr>
          <w:rFonts w:ascii="微软雅黑" w:eastAsia="微软雅黑" w:hAnsi="微软雅黑" w:hint="eastAsia"/>
          <w:szCs w:val="21"/>
        </w:rPr>
        <w:t>发布的2017</w:t>
      </w:r>
      <w:r w:rsidRPr="002B11D3">
        <w:rPr>
          <w:rFonts w:ascii="微软雅黑" w:eastAsia="微软雅黑" w:hAnsi="微软雅黑" w:cs="Arial"/>
          <w:szCs w:val="21"/>
        </w:rPr>
        <w:t>“</w:t>
      </w:r>
      <w:r w:rsidRPr="002B11D3">
        <w:rPr>
          <w:rFonts w:ascii="微软雅黑" w:eastAsia="微软雅黑" w:hAnsi="微软雅黑" w:hint="eastAsia"/>
          <w:szCs w:val="21"/>
        </w:rPr>
        <w:t>最佳中国品牌排行榜</w:t>
      </w:r>
      <w:r w:rsidRPr="002B11D3">
        <w:rPr>
          <w:rFonts w:ascii="微软雅黑" w:eastAsia="微软雅黑" w:hAnsi="微软雅黑" w:cs="Arial"/>
          <w:szCs w:val="21"/>
        </w:rPr>
        <w:t>”</w:t>
      </w:r>
      <w:r w:rsidRPr="002B11D3">
        <w:rPr>
          <w:rFonts w:ascii="微软雅黑" w:eastAsia="微软雅黑" w:hAnsi="微软雅黑" w:hint="eastAsia"/>
          <w:szCs w:val="21"/>
        </w:rPr>
        <w:t>中，</w:t>
      </w:r>
      <w:hyperlink r:id="rId10" w:tgtFrame="_blank" w:tooltip="中国平安蝉联Interbrand中国保险业第一品牌 荣膺中国最佳品牌第六" w:history="1">
        <w:r w:rsidRPr="002B11D3">
          <w:rPr>
            <w:rStyle w:val="aa"/>
            <w:rFonts w:ascii="微软雅黑" w:eastAsia="微软雅黑" w:hAnsi="微软雅黑" w:cs="Arial"/>
            <w:color w:val="auto"/>
            <w:szCs w:val="21"/>
          </w:rPr>
          <w:t>蝉联中国保险业第一品牌</w:t>
        </w:r>
        <w:r w:rsidRPr="002B11D3">
          <w:rPr>
            <w:rStyle w:val="aa"/>
            <w:rFonts w:ascii="微软雅黑" w:eastAsia="微软雅黑" w:hAnsi="微软雅黑" w:cs="Arial" w:hint="eastAsia"/>
            <w:color w:val="auto"/>
            <w:szCs w:val="21"/>
          </w:rPr>
          <w:t>，</w:t>
        </w:r>
        <w:r w:rsidRPr="002B11D3">
          <w:rPr>
            <w:rStyle w:val="aa"/>
            <w:rFonts w:ascii="微软雅黑" w:eastAsia="微软雅黑" w:hAnsi="微软雅黑" w:cs="Arial"/>
            <w:color w:val="auto"/>
            <w:szCs w:val="21"/>
          </w:rPr>
          <w:t>荣膺中国最佳品牌第六</w:t>
        </w:r>
      </w:hyperlink>
      <w:r w:rsidRPr="002B11D3">
        <w:rPr>
          <w:rFonts w:ascii="微软雅黑" w:eastAsia="微软雅黑" w:hAnsi="微软雅黑" w:hint="eastAsia"/>
          <w:szCs w:val="21"/>
        </w:rPr>
        <w:t>；连续15年蝉联“中国最受尊敬企业”称号，并荣膺</w:t>
      </w:r>
      <w:hyperlink r:id="rId11" w:tgtFrame="_blank" w:tooltip="中国平安荣膺Brand Finance 2017年全球第一保险品牌" w:history="1">
        <w:r w:rsidRPr="002B11D3">
          <w:rPr>
            <w:rStyle w:val="aa"/>
            <w:rFonts w:ascii="微软雅黑" w:eastAsia="微软雅黑" w:hAnsi="微软雅黑" w:cs="Arial"/>
            <w:color w:val="auto"/>
            <w:szCs w:val="21"/>
          </w:rPr>
          <w:t>Brand Finance 2017年</w:t>
        </w:r>
      </w:hyperlink>
      <w:r w:rsidRPr="002B11D3">
        <w:rPr>
          <w:rFonts w:ascii="微软雅黑" w:eastAsia="微软雅黑" w:hAnsi="微软雅黑" w:hint="eastAsia"/>
          <w:szCs w:val="21"/>
        </w:rPr>
        <w:t xml:space="preserve">全球保险第一品牌。 </w:t>
      </w:r>
    </w:p>
    <w:p w:rsidR="00AD554D" w:rsidRPr="002B11D3" w:rsidRDefault="00AD554D" w:rsidP="00C37732">
      <w:pPr>
        <w:spacing w:line="560" w:lineRule="atLeast"/>
        <w:ind w:firstLineChars="200" w:firstLine="420"/>
        <w:jc w:val="left"/>
        <w:rPr>
          <w:rFonts w:ascii="微软雅黑" w:eastAsia="微软雅黑" w:hAnsi="微软雅黑"/>
          <w:szCs w:val="21"/>
        </w:rPr>
      </w:pPr>
      <w:r w:rsidRPr="002B11D3">
        <w:rPr>
          <w:rFonts w:ascii="微软雅黑" w:eastAsia="微软雅黑" w:hAnsi="微软雅黑" w:cs="宋体" w:hint="eastAsia"/>
          <w:kern w:val="0"/>
          <w:szCs w:val="21"/>
        </w:rPr>
        <w:t>平安集团积极响应国家号召，近年来不断深入探索“互联网+综合金融”之路，持续聚焦“大金融资产”和“大医疗健康”两大产业。为</w:t>
      </w:r>
      <w:r w:rsidRPr="002B11D3">
        <w:rPr>
          <w:rFonts w:ascii="微软雅黑" w:eastAsia="微软雅黑" w:hAnsi="微软雅黑" w:hint="eastAsia"/>
          <w:szCs w:val="21"/>
        </w:rPr>
        <w:t>实现更专业化的经营发展,进一步加快“大医疗健康”布局，于2016年9月22日将平安养老险医疗事业部从平安养老保险股份有限公司剥离，注册成立平安医疗健康管理股份有限公司（以下简称“平安医疗”），注册资本</w:t>
      </w:r>
      <w:r w:rsidRPr="002B11D3">
        <w:rPr>
          <w:rFonts w:ascii="微软雅黑" w:eastAsia="微软雅黑" w:hAnsi="微软雅黑" w:cs="Calibri"/>
          <w:szCs w:val="21"/>
        </w:rPr>
        <w:t>10</w:t>
      </w:r>
      <w:r w:rsidR="00871F90" w:rsidRPr="002B11D3">
        <w:rPr>
          <w:rFonts w:ascii="微软雅黑" w:eastAsia="微软雅黑" w:hAnsi="微软雅黑" w:hint="eastAsia"/>
          <w:szCs w:val="21"/>
        </w:rPr>
        <w:t>亿元</w:t>
      </w:r>
      <w:r w:rsidRPr="002B11D3">
        <w:rPr>
          <w:rFonts w:ascii="微软雅黑" w:eastAsia="微软雅黑" w:hAnsi="微软雅黑" w:hint="eastAsia"/>
          <w:szCs w:val="21"/>
        </w:rPr>
        <w:t>。</w:t>
      </w:r>
    </w:p>
    <w:p w:rsidR="00091889" w:rsidRPr="002B11D3" w:rsidRDefault="00AD554D" w:rsidP="00C37732">
      <w:pPr>
        <w:spacing w:line="560" w:lineRule="atLeast"/>
        <w:ind w:firstLineChars="200" w:firstLine="420"/>
        <w:jc w:val="left"/>
        <w:rPr>
          <w:rFonts w:ascii="微软雅黑" w:eastAsia="微软雅黑" w:hAnsi="微软雅黑"/>
          <w:bCs/>
          <w:szCs w:val="21"/>
        </w:rPr>
      </w:pPr>
      <w:r w:rsidRPr="002B11D3">
        <w:rPr>
          <w:rFonts w:ascii="微软雅黑" w:eastAsia="微软雅黑" w:hAnsi="微软雅黑" w:hint="eastAsia"/>
          <w:szCs w:val="21"/>
        </w:rPr>
        <w:t>作为平安集团“大医疗健康”战略中的重要组成部分和核心成员，平安医疗致力于</w:t>
      </w:r>
      <w:r w:rsidR="00833491" w:rsidRPr="002B11D3">
        <w:rPr>
          <w:rFonts w:ascii="微软雅黑" w:eastAsia="微软雅黑" w:hAnsi="微软雅黑" w:hint="eastAsia"/>
          <w:szCs w:val="21"/>
        </w:rPr>
        <w:t>成为</w:t>
      </w:r>
      <w:r w:rsidR="00833491" w:rsidRPr="002B11D3">
        <w:rPr>
          <w:rFonts w:ascii="微软雅黑" w:eastAsia="微软雅黑" w:hAnsi="微软雅黑" w:hint="eastAsia"/>
          <w:bCs/>
          <w:szCs w:val="21"/>
        </w:rPr>
        <w:t>“中国最大的开放式管理医疗服务平台”</w:t>
      </w:r>
      <w:r w:rsidRPr="002B11D3">
        <w:rPr>
          <w:rFonts w:ascii="微软雅黑" w:eastAsia="微软雅黑" w:hAnsi="微软雅黑" w:hint="eastAsia"/>
          <w:szCs w:val="21"/>
        </w:rPr>
        <w:t>，</w:t>
      </w:r>
      <w:r w:rsidR="00091889" w:rsidRPr="002B11D3">
        <w:rPr>
          <w:rFonts w:ascii="微软雅黑" w:eastAsia="微软雅黑" w:hAnsi="微软雅黑" w:hint="eastAsia"/>
          <w:bCs/>
          <w:szCs w:val="21"/>
        </w:rPr>
        <w:t>聚焦医改重点领域。截至201</w:t>
      </w:r>
      <w:r w:rsidR="00127A2F" w:rsidRPr="002B11D3">
        <w:rPr>
          <w:rFonts w:ascii="微软雅黑" w:eastAsia="微软雅黑" w:hAnsi="微软雅黑"/>
          <w:bCs/>
          <w:szCs w:val="21"/>
        </w:rPr>
        <w:t>7</w:t>
      </w:r>
      <w:r w:rsidR="00091889" w:rsidRPr="002B11D3">
        <w:rPr>
          <w:rFonts w:ascii="微软雅黑" w:eastAsia="微软雅黑" w:hAnsi="微软雅黑" w:hint="eastAsia"/>
          <w:bCs/>
          <w:szCs w:val="21"/>
        </w:rPr>
        <w:t>年</w:t>
      </w:r>
      <w:r w:rsidR="00D67207" w:rsidRPr="002B11D3">
        <w:rPr>
          <w:rFonts w:ascii="微软雅黑" w:eastAsia="微软雅黑" w:hAnsi="微软雅黑" w:hint="eastAsia"/>
          <w:bCs/>
          <w:szCs w:val="21"/>
        </w:rPr>
        <w:t>6</w:t>
      </w:r>
      <w:r w:rsidR="00127A2F" w:rsidRPr="002B11D3">
        <w:rPr>
          <w:rFonts w:ascii="微软雅黑" w:eastAsia="微软雅黑" w:hAnsi="微软雅黑" w:hint="eastAsia"/>
          <w:bCs/>
          <w:szCs w:val="21"/>
        </w:rPr>
        <w:t>月</w:t>
      </w:r>
      <w:r w:rsidR="00091889" w:rsidRPr="002B11D3">
        <w:rPr>
          <w:rFonts w:ascii="微软雅黑" w:eastAsia="微软雅黑" w:hAnsi="微软雅黑" w:hint="eastAsia"/>
          <w:bCs/>
          <w:szCs w:val="21"/>
        </w:rPr>
        <w:t>，公司服务全国近</w:t>
      </w:r>
      <w:r w:rsidR="00D67207" w:rsidRPr="002B11D3">
        <w:rPr>
          <w:rFonts w:ascii="微软雅黑" w:eastAsia="微软雅黑" w:hAnsi="微软雅黑" w:hint="eastAsia"/>
          <w:bCs/>
          <w:szCs w:val="21"/>
        </w:rPr>
        <w:t>7</w:t>
      </w:r>
      <w:r w:rsidR="00091889" w:rsidRPr="002B11D3">
        <w:rPr>
          <w:rFonts w:ascii="微软雅黑" w:eastAsia="微软雅黑" w:hAnsi="微软雅黑" w:hint="eastAsia"/>
          <w:bCs/>
          <w:szCs w:val="21"/>
        </w:rPr>
        <w:t>0%城市和</w:t>
      </w:r>
      <w:r w:rsidR="00D67207" w:rsidRPr="002B11D3">
        <w:rPr>
          <w:rFonts w:ascii="微软雅黑" w:eastAsia="微软雅黑" w:hAnsi="微软雅黑" w:hint="eastAsia"/>
          <w:bCs/>
          <w:szCs w:val="21"/>
        </w:rPr>
        <w:t>8</w:t>
      </w:r>
      <w:r w:rsidR="00091889" w:rsidRPr="002B11D3">
        <w:rPr>
          <w:rFonts w:ascii="微软雅黑" w:eastAsia="微软雅黑" w:hAnsi="微软雅黑" w:hint="eastAsia"/>
          <w:bCs/>
          <w:szCs w:val="21"/>
        </w:rPr>
        <w:t>亿人口，为全国20多个省、2</w:t>
      </w:r>
      <w:r w:rsidR="00D67207" w:rsidRPr="002B11D3">
        <w:rPr>
          <w:rFonts w:ascii="微软雅黑" w:eastAsia="微软雅黑" w:hAnsi="微软雅黑" w:hint="eastAsia"/>
          <w:bCs/>
          <w:szCs w:val="21"/>
        </w:rPr>
        <w:t>40</w:t>
      </w:r>
      <w:r w:rsidR="00091889" w:rsidRPr="002B11D3">
        <w:rPr>
          <w:rFonts w:ascii="微软雅黑" w:eastAsia="微软雅黑" w:hAnsi="微软雅黑" w:hint="eastAsia"/>
          <w:bCs/>
          <w:szCs w:val="21"/>
        </w:rPr>
        <w:t>多个城市提供控费服务、精算服务、医保帐户服务、医疗资源管理、健康档案应用等全方位医保和商保</w:t>
      </w:r>
      <w:r w:rsidR="00444B2C" w:rsidRPr="002B11D3">
        <w:rPr>
          <w:rFonts w:ascii="微软雅黑" w:eastAsia="微软雅黑" w:hAnsi="微软雅黑" w:hint="eastAsia"/>
          <w:bCs/>
          <w:szCs w:val="21"/>
        </w:rPr>
        <w:t>管理</w:t>
      </w:r>
      <w:r w:rsidR="00091889" w:rsidRPr="002B11D3">
        <w:rPr>
          <w:rFonts w:ascii="微软雅黑" w:eastAsia="微软雅黑" w:hAnsi="微软雅黑" w:hint="eastAsia"/>
          <w:bCs/>
          <w:szCs w:val="21"/>
        </w:rPr>
        <w:t>服务。公司未来将进一步推进和完善“智慧医保”及“城市一账通”服务平台，覆盖医疗、健康、保障、人社及城市综合服务，有效降低医疗成本，提高保障水平，提升医疗服务体验。</w:t>
      </w:r>
    </w:p>
    <w:p w:rsidR="008F4509" w:rsidRPr="008F4509" w:rsidRDefault="00D421C2" w:rsidP="008F4509">
      <w:pPr>
        <w:pStyle w:val="ab"/>
        <w:numPr>
          <w:ilvl w:val="0"/>
          <w:numId w:val="3"/>
        </w:numPr>
        <w:spacing w:line="560" w:lineRule="atLeast"/>
        <w:ind w:firstLineChars="0"/>
        <w:jc w:val="left"/>
        <w:rPr>
          <w:rFonts w:ascii="微软雅黑" w:eastAsia="微软雅黑" w:hAnsi="微软雅黑"/>
          <w:szCs w:val="21"/>
        </w:rPr>
      </w:pPr>
      <w:r w:rsidRPr="008F4509">
        <w:rPr>
          <w:rFonts w:ascii="微软雅黑" w:eastAsia="微软雅黑" w:hAnsi="微软雅黑" w:hint="eastAsia"/>
          <w:szCs w:val="21"/>
        </w:rPr>
        <w:lastRenderedPageBreak/>
        <w:t>招聘岗位</w:t>
      </w:r>
    </w:p>
    <w:p w:rsidR="0037671A" w:rsidRPr="008F4509" w:rsidRDefault="00F63E45" w:rsidP="008F4509">
      <w:pPr>
        <w:spacing w:line="560" w:lineRule="atLeast"/>
        <w:ind w:firstLineChars="200" w:firstLine="420"/>
        <w:jc w:val="left"/>
        <w:rPr>
          <w:rFonts w:ascii="微软雅黑" w:eastAsia="微软雅黑" w:hAnsi="微软雅黑" w:hint="eastAsia"/>
          <w:szCs w:val="21"/>
        </w:rPr>
      </w:pPr>
      <w:r w:rsidRPr="008F4509">
        <w:rPr>
          <w:rFonts w:ascii="微软雅黑" w:eastAsia="微软雅黑" w:hAnsi="微软雅黑" w:hint="eastAsia"/>
          <w:szCs w:val="21"/>
        </w:rPr>
        <w:t>医疗审核岗</w:t>
      </w:r>
      <w:r w:rsidRPr="008F4509">
        <w:rPr>
          <w:rFonts w:ascii="微软雅黑" w:eastAsia="微软雅黑" w:hAnsi="微软雅黑"/>
          <w:szCs w:val="21"/>
        </w:rPr>
        <w:t>、医疗稽核岗</w:t>
      </w:r>
      <w:r w:rsidR="007C02F8">
        <w:rPr>
          <w:rFonts w:ascii="微软雅黑" w:eastAsia="微软雅黑" w:hAnsi="微软雅黑" w:hint="eastAsia"/>
          <w:szCs w:val="21"/>
        </w:rPr>
        <w:t>，工作地点为</w:t>
      </w:r>
      <w:r w:rsidR="00602209">
        <w:rPr>
          <w:rFonts w:ascii="微软雅黑" w:eastAsia="微软雅黑" w:hAnsi="微软雅黑" w:hint="eastAsia"/>
          <w:szCs w:val="21"/>
        </w:rPr>
        <w:t>潍坊、枣庄、聊城、临沂、</w:t>
      </w:r>
      <w:r w:rsidR="00602209">
        <w:rPr>
          <w:rFonts w:ascii="微软雅黑" w:eastAsia="微软雅黑" w:hAnsi="微软雅黑"/>
          <w:szCs w:val="21"/>
        </w:rPr>
        <w:t>泰安</w:t>
      </w:r>
      <w:r w:rsidR="00602209">
        <w:rPr>
          <w:rFonts w:ascii="微软雅黑" w:eastAsia="微软雅黑" w:hAnsi="微软雅黑" w:hint="eastAsia"/>
          <w:szCs w:val="21"/>
        </w:rPr>
        <w:t>等市社保局</w:t>
      </w:r>
      <w:r w:rsidR="00FA37E2">
        <w:rPr>
          <w:rFonts w:ascii="微软雅黑" w:eastAsia="微软雅黑" w:hAnsi="微软雅黑" w:hint="eastAsia"/>
          <w:szCs w:val="21"/>
        </w:rPr>
        <w:t>。</w:t>
      </w:r>
    </w:p>
    <w:p w:rsidR="003A6DA8" w:rsidRDefault="00930B69" w:rsidP="008F4509">
      <w:pPr>
        <w:pStyle w:val="ab"/>
        <w:numPr>
          <w:ilvl w:val="0"/>
          <w:numId w:val="3"/>
        </w:numPr>
        <w:spacing w:line="560" w:lineRule="atLeast"/>
        <w:ind w:firstLineChars="0"/>
        <w:jc w:val="left"/>
        <w:rPr>
          <w:rFonts w:ascii="微软雅黑" w:eastAsia="微软雅黑" w:hAnsi="微软雅黑"/>
          <w:szCs w:val="21"/>
        </w:rPr>
      </w:pPr>
      <w:r>
        <w:rPr>
          <w:rFonts w:ascii="微软雅黑" w:eastAsia="微软雅黑" w:hAnsi="微软雅黑" w:hint="eastAsia"/>
          <w:szCs w:val="21"/>
        </w:rPr>
        <w:t>应聘方式</w:t>
      </w:r>
    </w:p>
    <w:p w:rsidR="003A6DA8" w:rsidRPr="003A6DA8" w:rsidRDefault="003A6DA8" w:rsidP="003A6DA8">
      <w:pPr>
        <w:spacing w:line="560" w:lineRule="atLeast"/>
        <w:ind w:firstLineChars="200" w:firstLine="420"/>
        <w:jc w:val="left"/>
        <w:rPr>
          <w:rFonts w:ascii="微软雅黑" w:eastAsia="微软雅黑" w:hAnsi="微软雅黑" w:hint="eastAsia"/>
          <w:szCs w:val="21"/>
        </w:rPr>
      </w:pPr>
      <w:r w:rsidRPr="003A6DA8">
        <w:rPr>
          <w:rFonts w:ascii="微软雅黑" w:eastAsia="微软雅黑" w:hAnsi="微软雅黑" w:hint="eastAsia"/>
          <w:szCs w:val="21"/>
        </w:rPr>
        <w:t>有意者请将个人简历以附件形式发送至以下邮箱: menglili296@pingan.com.cn</w:t>
      </w:r>
      <w:r w:rsidR="00993CD2">
        <w:rPr>
          <w:rFonts w:ascii="微软雅黑" w:eastAsia="微软雅黑" w:hAnsi="微软雅黑" w:hint="eastAsia"/>
          <w:szCs w:val="21"/>
        </w:rPr>
        <w:t>，标题请注明“岗位名称</w:t>
      </w:r>
      <w:r w:rsidRPr="003A6DA8">
        <w:rPr>
          <w:rFonts w:ascii="微软雅黑" w:eastAsia="微软雅黑" w:hAnsi="微软雅黑" w:hint="eastAsia"/>
          <w:szCs w:val="21"/>
        </w:rPr>
        <w:t>+姓名</w:t>
      </w:r>
      <w:r w:rsidR="00993CD2">
        <w:rPr>
          <w:rFonts w:ascii="微软雅黑" w:eastAsia="微软雅黑" w:hAnsi="微软雅黑" w:hint="eastAsia"/>
          <w:szCs w:val="21"/>
        </w:rPr>
        <w:t>+</w:t>
      </w:r>
      <w:r w:rsidR="00993CD2">
        <w:rPr>
          <w:rFonts w:ascii="微软雅黑" w:eastAsia="微软雅黑" w:hAnsi="微软雅黑"/>
          <w:szCs w:val="21"/>
        </w:rPr>
        <w:t>专业</w:t>
      </w:r>
      <w:r w:rsidRPr="003A6DA8">
        <w:rPr>
          <w:rFonts w:ascii="微软雅黑" w:eastAsia="微软雅黑" w:hAnsi="微软雅黑" w:hint="eastAsia"/>
          <w:szCs w:val="21"/>
        </w:rPr>
        <w:t>”。初审合格后，将电话通知面试时间及地点。</w:t>
      </w:r>
    </w:p>
    <w:p w:rsidR="008F4509" w:rsidRPr="008F4509" w:rsidRDefault="003A6DA8" w:rsidP="008F4509">
      <w:pPr>
        <w:pStyle w:val="ab"/>
        <w:numPr>
          <w:ilvl w:val="0"/>
          <w:numId w:val="3"/>
        </w:numPr>
        <w:spacing w:line="560" w:lineRule="atLeast"/>
        <w:ind w:firstLineChars="0"/>
        <w:jc w:val="left"/>
        <w:rPr>
          <w:rFonts w:ascii="微软雅黑" w:eastAsia="微软雅黑" w:hAnsi="微软雅黑" w:hint="eastAsia"/>
          <w:szCs w:val="21"/>
        </w:rPr>
      </w:pPr>
      <w:r>
        <w:rPr>
          <w:rFonts w:ascii="微软雅黑" w:eastAsia="微软雅黑" w:hAnsi="微软雅黑" w:hint="eastAsia"/>
          <w:szCs w:val="21"/>
        </w:rPr>
        <w:t>专业</w:t>
      </w:r>
      <w:r w:rsidR="008F4509" w:rsidRPr="008F4509">
        <w:rPr>
          <w:rFonts w:ascii="微软雅黑" w:eastAsia="微软雅黑" w:hAnsi="微软雅黑" w:hint="eastAsia"/>
          <w:szCs w:val="21"/>
        </w:rPr>
        <w:t>要求</w:t>
      </w:r>
    </w:p>
    <w:p w:rsidR="00F63E45" w:rsidRPr="008F4509" w:rsidRDefault="00F63E45" w:rsidP="008F4509">
      <w:pPr>
        <w:spacing w:line="560" w:lineRule="atLeast"/>
        <w:ind w:firstLineChars="200" w:firstLine="420"/>
        <w:jc w:val="left"/>
        <w:rPr>
          <w:rFonts w:ascii="微软雅黑" w:eastAsia="微软雅黑" w:hAnsi="微软雅黑"/>
          <w:szCs w:val="21"/>
        </w:rPr>
      </w:pPr>
      <w:r w:rsidRPr="008F4509">
        <w:rPr>
          <w:rFonts w:ascii="微软雅黑" w:eastAsia="微软雅黑" w:hAnsi="微软雅黑"/>
          <w:szCs w:val="21"/>
        </w:rPr>
        <w:t>本科</w:t>
      </w:r>
      <w:r w:rsidRPr="008F4509">
        <w:rPr>
          <w:rFonts w:ascii="微软雅黑" w:eastAsia="微软雅黑" w:hAnsi="微软雅黑" w:hint="eastAsia"/>
          <w:szCs w:val="21"/>
        </w:rPr>
        <w:t>，临床医学</w:t>
      </w:r>
      <w:r w:rsidRPr="008F4509">
        <w:rPr>
          <w:rFonts w:ascii="微软雅黑" w:eastAsia="微软雅黑" w:hAnsi="微软雅黑"/>
          <w:szCs w:val="21"/>
        </w:rPr>
        <w:t>相关专业</w:t>
      </w:r>
    </w:p>
    <w:p w:rsidR="00D421C2" w:rsidRPr="002B11D3" w:rsidRDefault="0019015D" w:rsidP="0019015D">
      <w:pPr>
        <w:spacing w:line="560" w:lineRule="atLeast"/>
        <w:jc w:val="left"/>
        <w:rPr>
          <w:rFonts w:ascii="微软雅黑" w:eastAsia="微软雅黑" w:hAnsi="微软雅黑"/>
          <w:szCs w:val="21"/>
        </w:rPr>
      </w:pPr>
      <w:r>
        <w:rPr>
          <w:rFonts w:ascii="微软雅黑" w:eastAsia="微软雅黑" w:hAnsi="微软雅黑" w:hint="eastAsia"/>
          <w:szCs w:val="21"/>
        </w:rPr>
        <w:t>三</w:t>
      </w:r>
      <w:r>
        <w:rPr>
          <w:rFonts w:ascii="微软雅黑" w:eastAsia="微软雅黑" w:hAnsi="微软雅黑"/>
          <w:szCs w:val="21"/>
        </w:rPr>
        <w:t>、</w:t>
      </w:r>
      <w:r w:rsidR="00B04566">
        <w:rPr>
          <w:rFonts w:ascii="微软雅黑" w:eastAsia="微软雅黑" w:hAnsi="微软雅黑" w:hint="eastAsia"/>
          <w:szCs w:val="21"/>
        </w:rPr>
        <w:t>岗位职责</w:t>
      </w:r>
    </w:p>
    <w:p w:rsidR="0019015D" w:rsidRDefault="00D421C2" w:rsidP="00C37732">
      <w:pPr>
        <w:spacing w:line="560" w:lineRule="atLeast"/>
        <w:ind w:firstLineChars="200" w:firstLine="420"/>
        <w:jc w:val="left"/>
        <w:rPr>
          <w:rFonts w:ascii="微软雅黑" w:eastAsia="微软雅黑" w:hAnsi="微软雅黑"/>
          <w:szCs w:val="21"/>
        </w:rPr>
      </w:pPr>
      <w:r w:rsidRPr="002B11D3">
        <w:rPr>
          <w:rFonts w:ascii="微软雅黑" w:eastAsia="微软雅黑" w:hAnsi="微软雅黑" w:hint="eastAsia"/>
          <w:szCs w:val="21"/>
        </w:rPr>
        <w:t>医疗审核岗</w:t>
      </w:r>
      <w:r w:rsidRPr="002B11D3">
        <w:rPr>
          <w:rFonts w:ascii="微软雅黑" w:eastAsia="微软雅黑" w:hAnsi="微软雅黑"/>
          <w:szCs w:val="21"/>
        </w:rPr>
        <w:t>：</w:t>
      </w:r>
    </w:p>
    <w:p w:rsidR="00D421C2" w:rsidRPr="002B11D3" w:rsidRDefault="00D421C2" w:rsidP="00C37732">
      <w:pPr>
        <w:spacing w:line="560" w:lineRule="atLeast"/>
        <w:ind w:firstLineChars="200" w:firstLine="420"/>
        <w:jc w:val="left"/>
        <w:rPr>
          <w:rFonts w:ascii="微软雅黑" w:eastAsia="微软雅黑" w:hAnsi="微软雅黑"/>
          <w:szCs w:val="21"/>
        </w:rPr>
      </w:pPr>
      <w:r w:rsidRPr="002B11D3">
        <w:rPr>
          <w:rFonts w:ascii="微软雅黑" w:eastAsia="微软雅黑" w:hAnsi="微软雅黑" w:hint="eastAsia"/>
          <w:szCs w:val="21"/>
        </w:rPr>
        <w:t>（1）负责对慢病资格申请人提供的申请资料及医疗机构提供的结算费用情况进行审核。（2）负责对异地转诊转院慢病医疗费用进行审核，严格执行合作医疗的补偿范围、补偿标准。（3）负责对审核过程中发现的问题、情况及时记录、分析、汇报。（4）负责做好定点医疗机构、参保单位及参保人员的咨询工作。</w:t>
      </w:r>
    </w:p>
    <w:p w:rsidR="00D421C2" w:rsidRPr="002B11D3" w:rsidRDefault="00D421C2" w:rsidP="00C37732">
      <w:pPr>
        <w:spacing w:line="560" w:lineRule="atLeast"/>
        <w:ind w:firstLineChars="200" w:firstLine="420"/>
        <w:jc w:val="left"/>
        <w:rPr>
          <w:rFonts w:ascii="微软雅黑" w:eastAsia="微软雅黑" w:hAnsi="微软雅黑"/>
          <w:szCs w:val="21"/>
        </w:rPr>
      </w:pPr>
      <w:r w:rsidRPr="002B11D3">
        <w:rPr>
          <w:rFonts w:ascii="微软雅黑" w:eastAsia="微软雅黑" w:hAnsi="微软雅黑" w:hint="eastAsia"/>
          <w:szCs w:val="21"/>
        </w:rPr>
        <w:t>医疗稽核岗</w:t>
      </w:r>
      <w:r w:rsidRPr="002B11D3">
        <w:rPr>
          <w:rFonts w:ascii="微软雅黑" w:eastAsia="微软雅黑" w:hAnsi="微软雅黑"/>
          <w:szCs w:val="21"/>
        </w:rPr>
        <w:t>：</w:t>
      </w:r>
    </w:p>
    <w:p w:rsidR="009D380C" w:rsidRPr="002B11D3" w:rsidRDefault="006F3E6D" w:rsidP="00C37732">
      <w:pPr>
        <w:spacing w:line="560" w:lineRule="atLeast"/>
        <w:ind w:firstLineChars="200" w:firstLine="420"/>
        <w:jc w:val="left"/>
        <w:rPr>
          <w:rFonts w:ascii="微软雅黑" w:eastAsia="微软雅黑" w:hAnsi="微软雅黑"/>
          <w:szCs w:val="21"/>
        </w:rPr>
      </w:pPr>
      <w:r w:rsidRPr="002B11D3">
        <w:rPr>
          <w:rFonts w:ascii="微软雅黑" w:eastAsia="微软雅黑" w:hAnsi="微软雅黑" w:hint="eastAsia"/>
          <w:szCs w:val="21"/>
        </w:rPr>
        <w:t>（1</w:t>
      </w:r>
      <w:r w:rsidRPr="002B11D3">
        <w:rPr>
          <w:rFonts w:ascii="微软雅黑" w:eastAsia="微软雅黑" w:hAnsi="微软雅黑"/>
          <w:szCs w:val="21"/>
        </w:rPr>
        <w:t>）</w:t>
      </w:r>
      <w:r w:rsidR="009D380C" w:rsidRPr="002B11D3">
        <w:rPr>
          <w:rFonts w:ascii="微软雅黑" w:eastAsia="微软雅黑" w:hAnsi="微软雅黑" w:hint="eastAsia"/>
          <w:szCs w:val="21"/>
        </w:rPr>
        <w:t>通过深入各定点医疗机构、实地走访、询问第三方等形式对医疗费用是否符合医保相关规定进行核实，及时制作调查报告；</w:t>
      </w:r>
      <w:r w:rsidRPr="002B11D3">
        <w:rPr>
          <w:rFonts w:ascii="微软雅黑" w:eastAsia="微软雅黑" w:hAnsi="微软雅黑" w:hint="eastAsia"/>
          <w:szCs w:val="21"/>
        </w:rPr>
        <w:t>（2</w:t>
      </w:r>
      <w:r w:rsidRPr="002B11D3">
        <w:rPr>
          <w:rFonts w:ascii="微软雅黑" w:eastAsia="微软雅黑" w:hAnsi="微软雅黑"/>
          <w:szCs w:val="21"/>
        </w:rPr>
        <w:t>）</w:t>
      </w:r>
      <w:r w:rsidR="009D380C" w:rsidRPr="002B11D3">
        <w:rPr>
          <w:rFonts w:ascii="微软雅黑" w:eastAsia="微软雅黑" w:hAnsi="微软雅黑" w:hint="eastAsia"/>
          <w:szCs w:val="21"/>
        </w:rPr>
        <w:t>协助社保等基本医疗经办监督部门对定点医疗机构审核中有异议的案件进行调查核实并及时上报；</w:t>
      </w:r>
      <w:r w:rsidRPr="002B11D3">
        <w:rPr>
          <w:rFonts w:ascii="微软雅黑" w:eastAsia="微软雅黑" w:hAnsi="微软雅黑" w:hint="eastAsia"/>
          <w:szCs w:val="21"/>
        </w:rPr>
        <w:t>（3</w:t>
      </w:r>
      <w:r w:rsidRPr="002B11D3">
        <w:rPr>
          <w:rFonts w:ascii="微软雅黑" w:eastAsia="微软雅黑" w:hAnsi="微软雅黑"/>
          <w:szCs w:val="21"/>
        </w:rPr>
        <w:t>）</w:t>
      </w:r>
      <w:r w:rsidR="009D380C" w:rsidRPr="002B11D3">
        <w:rPr>
          <w:rFonts w:ascii="微软雅黑" w:eastAsia="微软雅黑" w:hAnsi="微软雅黑" w:hint="eastAsia"/>
          <w:szCs w:val="21"/>
        </w:rPr>
        <w:t>定期走访参保人，收集参保人对基本医疗和慢病医疗保险的意见和建议；</w:t>
      </w:r>
      <w:r w:rsidRPr="002B11D3">
        <w:rPr>
          <w:rFonts w:ascii="微软雅黑" w:eastAsia="微软雅黑" w:hAnsi="微软雅黑" w:hint="eastAsia"/>
          <w:szCs w:val="21"/>
        </w:rPr>
        <w:t>（4</w:t>
      </w:r>
      <w:r w:rsidRPr="002B11D3">
        <w:rPr>
          <w:rFonts w:ascii="微软雅黑" w:eastAsia="微软雅黑" w:hAnsi="微软雅黑"/>
          <w:szCs w:val="21"/>
        </w:rPr>
        <w:t>）</w:t>
      </w:r>
      <w:r w:rsidR="009D380C" w:rsidRPr="002B11D3">
        <w:rPr>
          <w:rFonts w:ascii="微软雅黑" w:eastAsia="微软雅黑" w:hAnsi="微软雅黑" w:hint="eastAsia"/>
          <w:szCs w:val="21"/>
        </w:rPr>
        <w:t>及时落实各种违规举报的调查核实工作；</w:t>
      </w:r>
    </w:p>
    <w:p w:rsidR="00D421C2" w:rsidRPr="002B11D3" w:rsidRDefault="00C21A89" w:rsidP="00C21A89">
      <w:pPr>
        <w:spacing w:line="560" w:lineRule="atLeast"/>
        <w:jc w:val="left"/>
        <w:rPr>
          <w:rFonts w:ascii="微软雅黑" w:eastAsia="微软雅黑" w:hAnsi="微软雅黑" w:hint="eastAsia"/>
          <w:szCs w:val="21"/>
        </w:rPr>
      </w:pPr>
      <w:r>
        <w:rPr>
          <w:rFonts w:ascii="微软雅黑" w:eastAsia="微软雅黑" w:hAnsi="微软雅黑" w:hint="eastAsia"/>
          <w:szCs w:val="21"/>
        </w:rPr>
        <w:t>四、福利待遇</w:t>
      </w:r>
    </w:p>
    <w:p w:rsidR="00556C05" w:rsidRDefault="00C21A89" w:rsidP="00556C05">
      <w:pPr>
        <w:spacing w:line="560" w:lineRule="atLeast"/>
        <w:ind w:firstLineChars="200" w:firstLine="420"/>
        <w:jc w:val="left"/>
        <w:rPr>
          <w:rFonts w:ascii="微软雅黑" w:eastAsia="微软雅黑" w:hAnsi="微软雅黑" w:hint="eastAsia"/>
          <w:szCs w:val="21"/>
        </w:rPr>
      </w:pPr>
      <w:r w:rsidRPr="002B11D3">
        <w:rPr>
          <w:rFonts w:ascii="微软雅黑" w:eastAsia="微软雅黑" w:hAnsi="微软雅黑" w:hint="eastAsia"/>
          <w:szCs w:val="21"/>
        </w:rPr>
        <w:t>优厚</w:t>
      </w:r>
      <w:r w:rsidRPr="002B11D3">
        <w:rPr>
          <w:rFonts w:ascii="微软雅黑" w:eastAsia="微软雅黑" w:hAnsi="微软雅黑"/>
          <w:szCs w:val="21"/>
        </w:rPr>
        <w:t>的</w:t>
      </w:r>
      <w:r w:rsidRPr="002B11D3">
        <w:rPr>
          <w:rFonts w:ascii="微软雅黑" w:eastAsia="微软雅黑" w:hAnsi="微软雅黑" w:hint="eastAsia"/>
          <w:szCs w:val="21"/>
        </w:rPr>
        <w:t>薪酬和</w:t>
      </w:r>
      <w:r w:rsidRPr="002B11D3">
        <w:rPr>
          <w:rFonts w:ascii="微软雅黑" w:eastAsia="微软雅黑" w:hAnsi="微软雅黑"/>
          <w:szCs w:val="21"/>
        </w:rPr>
        <w:t>年终奖金、</w:t>
      </w:r>
      <w:r w:rsidRPr="002B11D3">
        <w:rPr>
          <w:rFonts w:ascii="微软雅黑" w:eastAsia="微软雅黑" w:hAnsi="微软雅黑" w:hint="eastAsia"/>
          <w:szCs w:val="21"/>
        </w:rPr>
        <w:t>五险一金</w:t>
      </w:r>
      <w:r w:rsidRPr="002B11D3">
        <w:rPr>
          <w:rFonts w:ascii="微软雅黑" w:eastAsia="微软雅黑" w:hAnsi="微软雅黑"/>
          <w:szCs w:val="21"/>
        </w:rPr>
        <w:t>、</w:t>
      </w:r>
      <w:r w:rsidR="00BC0120">
        <w:rPr>
          <w:rFonts w:ascii="微软雅黑" w:eastAsia="微软雅黑" w:hAnsi="微软雅黑" w:hint="eastAsia"/>
          <w:szCs w:val="21"/>
        </w:rPr>
        <w:t>补充</w:t>
      </w:r>
      <w:r w:rsidR="00C06B6C">
        <w:rPr>
          <w:rFonts w:ascii="微软雅黑" w:eastAsia="微软雅黑" w:hAnsi="微软雅黑" w:hint="eastAsia"/>
          <w:szCs w:val="21"/>
        </w:rPr>
        <w:t>医疗</w:t>
      </w:r>
      <w:r w:rsidRPr="002B11D3">
        <w:rPr>
          <w:rFonts w:ascii="微软雅黑" w:eastAsia="微软雅黑" w:hAnsi="微软雅黑" w:hint="eastAsia"/>
          <w:szCs w:val="21"/>
        </w:rPr>
        <w:t>保险</w:t>
      </w:r>
      <w:r w:rsidRPr="002B11D3">
        <w:rPr>
          <w:rFonts w:ascii="微软雅黑" w:eastAsia="微软雅黑" w:hAnsi="微软雅黑"/>
          <w:szCs w:val="21"/>
        </w:rPr>
        <w:t>、双休、公务员作息、</w:t>
      </w:r>
      <w:r w:rsidRPr="002B11D3">
        <w:rPr>
          <w:rFonts w:ascii="微软雅黑" w:eastAsia="微软雅黑" w:hAnsi="微软雅黑" w:hint="eastAsia"/>
          <w:szCs w:val="21"/>
        </w:rPr>
        <w:t>年节福利</w:t>
      </w:r>
      <w:r w:rsidRPr="002B11D3">
        <w:rPr>
          <w:rFonts w:ascii="微软雅黑" w:eastAsia="微软雅黑" w:hAnsi="微软雅黑"/>
          <w:szCs w:val="21"/>
        </w:rPr>
        <w:t>、</w:t>
      </w:r>
      <w:r w:rsidRPr="002B11D3">
        <w:rPr>
          <w:rFonts w:ascii="微软雅黑" w:eastAsia="微软雅黑" w:hAnsi="微软雅黑" w:hint="eastAsia"/>
          <w:szCs w:val="21"/>
        </w:rPr>
        <w:t>定期体检</w:t>
      </w:r>
      <w:r w:rsidRPr="002B11D3">
        <w:rPr>
          <w:rFonts w:ascii="微软雅黑" w:eastAsia="微软雅黑" w:hAnsi="微软雅黑"/>
          <w:szCs w:val="21"/>
        </w:rPr>
        <w:t>等。</w:t>
      </w:r>
      <w:bookmarkStart w:id="0" w:name="_GoBack"/>
      <w:bookmarkEnd w:id="0"/>
    </w:p>
    <w:p w:rsidR="004E4019" w:rsidRDefault="004E4019" w:rsidP="00930B69">
      <w:pPr>
        <w:spacing w:line="560" w:lineRule="atLeast"/>
        <w:ind w:firstLineChars="200" w:firstLine="420"/>
        <w:jc w:val="left"/>
        <w:rPr>
          <w:rFonts w:ascii="微软雅黑" w:eastAsia="微软雅黑" w:hAnsi="微软雅黑"/>
          <w:szCs w:val="21"/>
        </w:rPr>
      </w:pPr>
      <w:r>
        <w:rPr>
          <w:rFonts w:ascii="微软雅黑" w:eastAsia="微软雅黑" w:hAnsi="微软雅黑" w:hint="eastAsia"/>
          <w:szCs w:val="21"/>
        </w:rPr>
        <w:t>联系人</w:t>
      </w:r>
      <w:r>
        <w:rPr>
          <w:rFonts w:ascii="微软雅黑" w:eastAsia="微软雅黑" w:hAnsi="微软雅黑"/>
          <w:szCs w:val="21"/>
        </w:rPr>
        <w:t>：孟老师</w:t>
      </w:r>
      <w:r>
        <w:rPr>
          <w:rFonts w:ascii="微软雅黑" w:eastAsia="微软雅黑" w:hAnsi="微软雅黑" w:hint="eastAsia"/>
          <w:szCs w:val="21"/>
        </w:rPr>
        <w:t>0531</w:t>
      </w:r>
      <w:r w:rsidR="00556C05">
        <w:rPr>
          <w:rFonts w:ascii="微软雅黑" w:eastAsia="微软雅黑" w:hAnsi="微软雅黑"/>
          <w:szCs w:val="21"/>
        </w:rPr>
        <w:t>—55753240</w:t>
      </w:r>
    </w:p>
    <w:p w:rsidR="00556C05" w:rsidRPr="002B11D3" w:rsidRDefault="00556C05" w:rsidP="00930B69">
      <w:pPr>
        <w:spacing w:line="560" w:lineRule="atLeast"/>
        <w:ind w:firstLineChars="200" w:firstLine="420"/>
        <w:jc w:val="left"/>
        <w:rPr>
          <w:rFonts w:ascii="微软雅黑" w:eastAsia="微软雅黑" w:hAnsi="微软雅黑" w:hint="eastAsia"/>
          <w:szCs w:val="21"/>
        </w:rPr>
      </w:pPr>
      <w:r>
        <w:rPr>
          <w:rFonts w:ascii="微软雅黑" w:eastAsia="微软雅黑" w:hAnsi="微软雅黑" w:hint="eastAsia"/>
          <w:szCs w:val="21"/>
        </w:rPr>
        <w:lastRenderedPageBreak/>
        <w:t>公司地址</w:t>
      </w:r>
      <w:r>
        <w:rPr>
          <w:rFonts w:ascii="微软雅黑" w:eastAsia="微软雅黑" w:hAnsi="微软雅黑"/>
          <w:szCs w:val="21"/>
        </w:rPr>
        <w:t>：济南市历下区文化东路</w:t>
      </w:r>
      <w:r>
        <w:rPr>
          <w:rFonts w:ascii="微软雅黑" w:eastAsia="微软雅黑" w:hAnsi="微软雅黑" w:hint="eastAsia"/>
          <w:szCs w:val="21"/>
        </w:rPr>
        <w:t>29号</w:t>
      </w:r>
      <w:r>
        <w:rPr>
          <w:rFonts w:ascii="微软雅黑" w:eastAsia="微软雅黑" w:hAnsi="微软雅黑"/>
          <w:szCs w:val="21"/>
        </w:rPr>
        <w:t>七星吉祥大厦A座</w:t>
      </w:r>
    </w:p>
    <w:sectPr w:rsidR="00556C05" w:rsidRPr="002B11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063" w:rsidRDefault="00D36063" w:rsidP="00AD554D">
      <w:r>
        <w:separator/>
      </w:r>
    </w:p>
  </w:endnote>
  <w:endnote w:type="continuationSeparator" w:id="0">
    <w:p w:rsidR="00D36063" w:rsidRDefault="00D36063" w:rsidP="00AD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Regular">
    <w:altName w:val="Times New Roman"/>
    <w:charset w:val="00"/>
    <w:family w:val="auto"/>
    <w:pitch w:val="default"/>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063" w:rsidRDefault="00D36063" w:rsidP="00AD554D">
      <w:r>
        <w:separator/>
      </w:r>
    </w:p>
  </w:footnote>
  <w:footnote w:type="continuationSeparator" w:id="0">
    <w:p w:rsidR="00D36063" w:rsidRDefault="00D36063" w:rsidP="00AD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3DFB"/>
    <w:multiLevelType w:val="hybridMultilevel"/>
    <w:tmpl w:val="9A58A8D2"/>
    <w:lvl w:ilvl="0" w:tplc="F61E7F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8B73B1A"/>
    <w:multiLevelType w:val="hybridMultilevel"/>
    <w:tmpl w:val="4538EF90"/>
    <w:lvl w:ilvl="0" w:tplc="72966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5E4A07"/>
    <w:multiLevelType w:val="hybridMultilevel"/>
    <w:tmpl w:val="9D08CAE6"/>
    <w:lvl w:ilvl="0" w:tplc="9AAE9E1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3F"/>
    <w:rsid w:val="00002ABA"/>
    <w:rsid w:val="0002756B"/>
    <w:rsid w:val="000370C9"/>
    <w:rsid w:val="00047E85"/>
    <w:rsid w:val="00060022"/>
    <w:rsid w:val="00076921"/>
    <w:rsid w:val="00091889"/>
    <w:rsid w:val="000A28DD"/>
    <w:rsid w:val="000B7C15"/>
    <w:rsid w:val="000F5E8C"/>
    <w:rsid w:val="00127A2F"/>
    <w:rsid w:val="0013247C"/>
    <w:rsid w:val="00137E95"/>
    <w:rsid w:val="00162CF7"/>
    <w:rsid w:val="001679DE"/>
    <w:rsid w:val="0019015D"/>
    <w:rsid w:val="001963EF"/>
    <w:rsid w:val="001D5A74"/>
    <w:rsid w:val="001F54EC"/>
    <w:rsid w:val="0020471A"/>
    <w:rsid w:val="0027779E"/>
    <w:rsid w:val="002A4DD3"/>
    <w:rsid w:val="002B11D3"/>
    <w:rsid w:val="002B22C9"/>
    <w:rsid w:val="002B61D5"/>
    <w:rsid w:val="002E4EF9"/>
    <w:rsid w:val="002F78D6"/>
    <w:rsid w:val="0037313F"/>
    <w:rsid w:val="0037671A"/>
    <w:rsid w:val="003A6DA8"/>
    <w:rsid w:val="003E7F45"/>
    <w:rsid w:val="003F0E3D"/>
    <w:rsid w:val="00444B2C"/>
    <w:rsid w:val="004705C5"/>
    <w:rsid w:val="004E4019"/>
    <w:rsid w:val="004F4E25"/>
    <w:rsid w:val="0051114F"/>
    <w:rsid w:val="005277FA"/>
    <w:rsid w:val="00556C05"/>
    <w:rsid w:val="005F3BC3"/>
    <w:rsid w:val="00602209"/>
    <w:rsid w:val="0063433F"/>
    <w:rsid w:val="006B30E2"/>
    <w:rsid w:val="006D7EE9"/>
    <w:rsid w:val="006E16CC"/>
    <w:rsid w:val="006F3E6D"/>
    <w:rsid w:val="00717432"/>
    <w:rsid w:val="00727DCC"/>
    <w:rsid w:val="00730B65"/>
    <w:rsid w:val="007972E4"/>
    <w:rsid w:val="007C02F8"/>
    <w:rsid w:val="007C354B"/>
    <w:rsid w:val="00802606"/>
    <w:rsid w:val="0080507E"/>
    <w:rsid w:val="00833491"/>
    <w:rsid w:val="00844A80"/>
    <w:rsid w:val="0086215B"/>
    <w:rsid w:val="00871F90"/>
    <w:rsid w:val="00882E0D"/>
    <w:rsid w:val="008F4509"/>
    <w:rsid w:val="00924553"/>
    <w:rsid w:val="00930B69"/>
    <w:rsid w:val="00937762"/>
    <w:rsid w:val="0094234E"/>
    <w:rsid w:val="00972861"/>
    <w:rsid w:val="00980242"/>
    <w:rsid w:val="00993CD2"/>
    <w:rsid w:val="009A747C"/>
    <w:rsid w:val="009D380C"/>
    <w:rsid w:val="00AC4CBD"/>
    <w:rsid w:val="00AC5C70"/>
    <w:rsid w:val="00AD554D"/>
    <w:rsid w:val="00B04566"/>
    <w:rsid w:val="00B57B96"/>
    <w:rsid w:val="00B65102"/>
    <w:rsid w:val="00BA0156"/>
    <w:rsid w:val="00BC0120"/>
    <w:rsid w:val="00C06B6C"/>
    <w:rsid w:val="00C21A89"/>
    <w:rsid w:val="00C37732"/>
    <w:rsid w:val="00C86CC7"/>
    <w:rsid w:val="00D11892"/>
    <w:rsid w:val="00D36063"/>
    <w:rsid w:val="00D421C2"/>
    <w:rsid w:val="00D67207"/>
    <w:rsid w:val="00D85669"/>
    <w:rsid w:val="00DC1C7C"/>
    <w:rsid w:val="00E81DFF"/>
    <w:rsid w:val="00E93747"/>
    <w:rsid w:val="00EF0F04"/>
    <w:rsid w:val="00F63E45"/>
    <w:rsid w:val="00FA37E2"/>
    <w:rsid w:val="00FA5826"/>
    <w:rsid w:val="00FC1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C412F"/>
  <w15:docId w15:val="{1EAA7F64-1D77-4CED-9F1B-E85CAF19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5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5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554D"/>
    <w:rPr>
      <w:sz w:val="18"/>
      <w:szCs w:val="18"/>
    </w:rPr>
  </w:style>
  <w:style w:type="paragraph" w:styleId="a5">
    <w:name w:val="footer"/>
    <w:basedOn w:val="a"/>
    <w:link w:val="a6"/>
    <w:uiPriority w:val="99"/>
    <w:unhideWhenUsed/>
    <w:rsid w:val="00AD554D"/>
    <w:pPr>
      <w:tabs>
        <w:tab w:val="center" w:pos="4153"/>
        <w:tab w:val="right" w:pos="8306"/>
      </w:tabs>
      <w:snapToGrid w:val="0"/>
      <w:jc w:val="left"/>
    </w:pPr>
    <w:rPr>
      <w:sz w:val="18"/>
      <w:szCs w:val="18"/>
    </w:rPr>
  </w:style>
  <w:style w:type="character" w:customStyle="1" w:styleId="a6">
    <w:name w:val="页脚 字符"/>
    <w:basedOn w:val="a0"/>
    <w:link w:val="a5"/>
    <w:uiPriority w:val="99"/>
    <w:rsid w:val="00AD554D"/>
    <w:rPr>
      <w:sz w:val="18"/>
      <w:szCs w:val="18"/>
    </w:rPr>
  </w:style>
  <w:style w:type="paragraph" w:styleId="a7">
    <w:name w:val="Normal (Web)"/>
    <w:basedOn w:val="a"/>
    <w:uiPriority w:val="99"/>
    <w:unhideWhenUsed/>
    <w:rsid w:val="00AD554D"/>
    <w:pPr>
      <w:widowControl/>
      <w:spacing w:before="100" w:beforeAutospacing="1" w:after="100" w:afterAutospacing="1"/>
      <w:jc w:val="left"/>
    </w:pPr>
    <w:rPr>
      <w:rFonts w:ascii="宋体" w:eastAsia="宋体" w:hAnsi="宋体" w:cs="宋体"/>
      <w:kern w:val="0"/>
      <w:sz w:val="24"/>
      <w:szCs w:val="24"/>
    </w:rPr>
  </w:style>
  <w:style w:type="paragraph" w:customStyle="1" w:styleId="a8">
    <w:name w:val="[无段落样式]"/>
    <w:basedOn w:val="a"/>
    <w:uiPriority w:val="99"/>
    <w:rsid w:val="001679DE"/>
    <w:pPr>
      <w:widowControl/>
      <w:autoSpaceDE w:val="0"/>
      <w:autoSpaceDN w:val="0"/>
      <w:spacing w:line="288" w:lineRule="auto"/>
      <w:jc w:val="left"/>
    </w:pPr>
    <w:rPr>
      <w:rFonts w:ascii="Times Regular" w:eastAsia="宋体" w:hAnsi="Times Regular" w:cs="宋体"/>
      <w:color w:val="000000"/>
      <w:kern w:val="0"/>
      <w:sz w:val="24"/>
      <w:szCs w:val="24"/>
      <w:lang w:eastAsia="zh-TW"/>
    </w:rPr>
  </w:style>
  <w:style w:type="character" w:styleId="a9">
    <w:name w:val="annotation reference"/>
    <w:basedOn w:val="a0"/>
    <w:uiPriority w:val="99"/>
    <w:semiHidden/>
    <w:unhideWhenUsed/>
    <w:rsid w:val="001679DE"/>
  </w:style>
  <w:style w:type="character" w:styleId="aa">
    <w:name w:val="Hyperlink"/>
    <w:basedOn w:val="a0"/>
    <w:uiPriority w:val="99"/>
    <w:unhideWhenUsed/>
    <w:rsid w:val="00162CF7"/>
    <w:rPr>
      <w:strike w:val="0"/>
      <w:dstrike w:val="0"/>
      <w:color w:val="4C4948"/>
      <w:u w:val="none"/>
      <w:effect w:val="none"/>
    </w:rPr>
  </w:style>
  <w:style w:type="paragraph" w:styleId="ab">
    <w:name w:val="List Paragraph"/>
    <w:basedOn w:val="a"/>
    <w:uiPriority w:val="34"/>
    <w:qFormat/>
    <w:rsid w:val="008F450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46343">
      <w:bodyDiv w:val="1"/>
      <w:marLeft w:val="0"/>
      <w:marRight w:val="0"/>
      <w:marTop w:val="0"/>
      <w:marBottom w:val="0"/>
      <w:divBdr>
        <w:top w:val="none" w:sz="0" w:space="0" w:color="auto"/>
        <w:left w:val="none" w:sz="0" w:space="0" w:color="auto"/>
        <w:bottom w:val="none" w:sz="0" w:space="0" w:color="auto"/>
        <w:right w:val="none" w:sz="0" w:space="0" w:color="auto"/>
      </w:divBdr>
      <w:divsChild>
        <w:div w:id="755134206">
          <w:marLeft w:val="0"/>
          <w:marRight w:val="0"/>
          <w:marTop w:val="0"/>
          <w:marBottom w:val="0"/>
          <w:divBdr>
            <w:top w:val="single" w:sz="6" w:space="0" w:color="D8E6F8"/>
            <w:left w:val="single" w:sz="6" w:space="0" w:color="D8E6F8"/>
            <w:bottom w:val="single" w:sz="6" w:space="0" w:color="D8E6F8"/>
            <w:right w:val="single" w:sz="6" w:space="0" w:color="D8E6F8"/>
          </w:divBdr>
          <w:divsChild>
            <w:div w:id="902836155">
              <w:marLeft w:val="0"/>
              <w:marRight w:val="0"/>
              <w:marTop w:val="0"/>
              <w:marBottom w:val="0"/>
              <w:divBdr>
                <w:top w:val="none" w:sz="0" w:space="0" w:color="auto"/>
                <w:left w:val="none" w:sz="0" w:space="0" w:color="auto"/>
                <w:bottom w:val="none" w:sz="0" w:space="0" w:color="auto"/>
                <w:right w:val="none" w:sz="0" w:space="0" w:color="auto"/>
              </w:divBdr>
              <w:divsChild>
                <w:div w:id="556666949">
                  <w:marLeft w:val="0"/>
                  <w:marRight w:val="0"/>
                  <w:marTop w:val="450"/>
                  <w:marBottom w:val="0"/>
                  <w:divBdr>
                    <w:top w:val="none" w:sz="0" w:space="0" w:color="auto"/>
                    <w:left w:val="none" w:sz="0" w:space="0" w:color="auto"/>
                    <w:bottom w:val="none" w:sz="0" w:space="0" w:color="auto"/>
                    <w:right w:val="none" w:sz="0" w:space="0" w:color="auto"/>
                  </w:divBdr>
                  <w:divsChild>
                    <w:div w:id="1203861850">
                      <w:marLeft w:val="0"/>
                      <w:marRight w:val="0"/>
                      <w:marTop w:val="0"/>
                      <w:marBottom w:val="0"/>
                      <w:divBdr>
                        <w:top w:val="none" w:sz="0" w:space="0" w:color="auto"/>
                        <w:left w:val="none" w:sz="0" w:space="0" w:color="auto"/>
                        <w:bottom w:val="none" w:sz="0" w:space="0" w:color="auto"/>
                        <w:right w:val="none" w:sz="0" w:space="0" w:color="auto"/>
                      </w:divBdr>
                      <w:divsChild>
                        <w:div w:id="8956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gan.cn/zh/common/cn_news/1495693745370.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ngan.cn/zh/common/cn_news/1493169483257.shtml" TargetMode="External"/><Relationship Id="rId5" Type="http://schemas.openxmlformats.org/officeDocument/2006/relationships/webSettings" Target="webSettings.xml"/><Relationship Id="rId10" Type="http://schemas.openxmlformats.org/officeDocument/2006/relationships/hyperlink" Target="http://www.pingan.cn/zh/common/cn_news/1493347732293.shtml" TargetMode="External"/><Relationship Id="rId4" Type="http://schemas.openxmlformats.org/officeDocument/2006/relationships/settings" Target="settings.xml"/><Relationship Id="rId9" Type="http://schemas.openxmlformats.org/officeDocument/2006/relationships/hyperlink" Target="http://www.pingan.cn/zh/common/cn_news/1496797013252.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962C-C3DC-4F33-B814-8EDD7C59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Pages>
  <Words>278</Words>
  <Characters>1591</Characters>
  <Application>Microsoft Office Word</Application>
  <DocSecurity>0</DocSecurity>
  <Lines>13</Lines>
  <Paragraphs>3</Paragraphs>
  <ScaleCrop>false</ScaleCrop>
  <Company>中国平安保险(集团)股份有限公司</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49</cp:revision>
  <dcterms:created xsi:type="dcterms:W3CDTF">2017-03-08T06:03:00Z</dcterms:created>
  <dcterms:modified xsi:type="dcterms:W3CDTF">2017-12-22T07:15:00Z</dcterms:modified>
</cp:coreProperties>
</file>