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hint="eastAsia" w:ascii="仿宋_GB2312" w:hAnsi="仿宋_GB2312" w:eastAsia="仿宋_GB2312"/>
          <w:b/>
          <w:kern w:val="2"/>
          <w:sz w:val="36"/>
          <w:lang w:val="en-US" w:eastAsia="zh-CN"/>
        </w:rPr>
      </w:pPr>
      <w:r>
        <w:rPr>
          <w:rFonts w:hint="eastAsia" w:ascii="仿宋_GB2312" w:hAnsi="仿宋_GB2312" w:eastAsia="仿宋_GB2312"/>
          <w:b/>
          <w:kern w:val="2"/>
          <w:sz w:val="36"/>
          <w:lang w:val="en-US" w:eastAsia="zh-CN"/>
        </w:rPr>
        <w:t>东明县人民医院2017年度人才招聘计划</w:t>
      </w:r>
    </w:p>
    <w:p>
      <w:pPr>
        <w:ind w:firstLine="0"/>
        <w:jc w:val="center"/>
        <w:rPr>
          <w:rFonts w:hint="eastAsia" w:ascii="仿宋_GB2312" w:hAnsi="仿宋_GB2312" w:eastAsia="仿宋_GB2312"/>
          <w:b/>
          <w:kern w:val="2"/>
          <w:sz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240" w:lineRule="auto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为加快医院人才梯队建设，促进医院健康、持续、快迅发展，根椐目前医院学科发展及临床科室人员需求，特制定2017年人才招聘计划。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240" w:lineRule="auto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b/>
          <w:sz w:val="30"/>
        </w:rPr>
      </w:pPr>
      <w:r>
        <w:rPr>
          <w:rFonts w:hint="eastAsia" w:ascii="仿宋_GB2312" w:hAnsi="仿宋_GB2312" w:eastAsia="仿宋_GB2312"/>
          <w:b/>
          <w:sz w:val="30"/>
        </w:rPr>
        <w:t>一、招聘专业及名额</w:t>
      </w:r>
    </w:p>
    <w:tbl>
      <w:tblPr>
        <w:tblStyle w:val="3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055"/>
        <w:gridCol w:w="2745"/>
        <w:gridCol w:w="900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科室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招聘专业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专业方向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招聘人数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肿瘤科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肿瘤学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肿瘤临床诊疗方向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8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硕士及以上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重症医学科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内科学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胸外科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外科学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胸外方向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泌尿外科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外科学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急诊医学科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急诊医学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耳鼻喉科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耳鼻咽喉学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神经内科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神经病学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心内科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内科学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冠脉介入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呼吸内科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内科学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呼吸病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肾内科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内科学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肾脏病或血液净化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传染科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传染病学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康复医学科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康复医学与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理疗学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儿科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儿科学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妇科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妇产科学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妇科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产科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妇产科学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产科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普外科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外科学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胃肠外科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神经外科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外科学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骨外科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外科学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骨科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介入</w:t>
            </w:r>
          </w:p>
        </w:tc>
        <w:tc>
          <w:tcPr>
            <w:tcW w:w="20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外科学</w:t>
            </w:r>
          </w:p>
        </w:tc>
        <w:tc>
          <w:tcPr>
            <w:tcW w:w="274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血管外科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麻醉科</w:t>
            </w:r>
          </w:p>
        </w:tc>
        <w:tc>
          <w:tcPr>
            <w:tcW w:w="2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麻醉学</w:t>
            </w:r>
          </w:p>
        </w:tc>
        <w:tc>
          <w:tcPr>
            <w:tcW w:w="27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临床科室</w:t>
            </w:r>
          </w:p>
        </w:tc>
        <w:tc>
          <w:tcPr>
            <w:tcW w:w="20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临床医学</w:t>
            </w:r>
          </w:p>
        </w:tc>
        <w:tc>
          <w:tcPr>
            <w:tcW w:w="274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90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20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30"/>
              </w:rPr>
              <w:t>医学影像</w:t>
            </w:r>
          </w:p>
        </w:tc>
        <w:tc>
          <w:tcPr>
            <w:tcW w:w="274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90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20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lang w:val="en-US" w:eastAsia="zh-CN"/>
              </w:rPr>
              <w:t>护理学</w:t>
            </w:r>
          </w:p>
        </w:tc>
        <w:tc>
          <w:tcPr>
            <w:tcW w:w="274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90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8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  <w:t>药剂科</w:t>
            </w:r>
          </w:p>
        </w:tc>
        <w:tc>
          <w:tcPr>
            <w:tcW w:w="20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lang w:val="en-US" w:eastAsia="zh-CN"/>
              </w:rPr>
              <w:t>临床药学</w:t>
            </w:r>
          </w:p>
        </w:tc>
        <w:tc>
          <w:tcPr>
            <w:tcW w:w="274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90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20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lang w:val="en-US" w:eastAsia="zh-CN"/>
              </w:rPr>
              <w:t xml:space="preserve">营养师 </w:t>
            </w:r>
          </w:p>
        </w:tc>
        <w:tc>
          <w:tcPr>
            <w:tcW w:w="274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90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20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lang w:val="en-US" w:eastAsia="zh-CN"/>
              </w:rPr>
              <w:t>心理咨询</w:t>
            </w:r>
          </w:p>
        </w:tc>
        <w:tc>
          <w:tcPr>
            <w:tcW w:w="274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90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205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lang w:val="en-US" w:eastAsia="zh-CN"/>
              </w:rPr>
              <w:t>公共卫生文秘</w:t>
            </w:r>
          </w:p>
        </w:tc>
        <w:tc>
          <w:tcPr>
            <w:tcW w:w="274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2"/>
                <w:lang w:val="en-US" w:eastAsia="zh-CN"/>
              </w:rPr>
            </w:pPr>
          </w:p>
        </w:tc>
        <w:tc>
          <w:tcPr>
            <w:tcW w:w="90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5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本科及以上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240" w:lineRule="auto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（</w:t>
      </w:r>
      <w:r>
        <w:rPr>
          <w:rFonts w:hint="eastAsia" w:ascii="仿宋_GB2312" w:hAnsi="仿宋_GB2312" w:eastAsia="仿宋_GB2312"/>
          <w:sz w:val="30"/>
          <w:lang w:eastAsia="zh-CN"/>
        </w:rPr>
        <w:t>硕士</w:t>
      </w:r>
      <w:r>
        <w:rPr>
          <w:rFonts w:hint="eastAsia" w:ascii="仿宋_GB2312" w:hAnsi="仿宋_GB2312" w:eastAsia="仿宋_GB2312"/>
          <w:sz w:val="30"/>
        </w:rPr>
        <w:t>重症医学科、外科类专业</w:t>
      </w:r>
      <w:r>
        <w:rPr>
          <w:rFonts w:hint="eastAsia" w:ascii="仿宋_GB2312" w:hAnsi="仿宋_GB2312" w:eastAsia="仿宋_GB2312"/>
          <w:sz w:val="30"/>
          <w:lang w:eastAsia="zh-CN"/>
        </w:rPr>
        <w:t>及本科临床医学、麻醉专业</w:t>
      </w:r>
      <w:r>
        <w:rPr>
          <w:rFonts w:hint="eastAsia" w:ascii="仿宋_GB2312" w:hAnsi="仿宋_GB2312" w:eastAsia="仿宋_GB2312"/>
          <w:sz w:val="30"/>
        </w:rPr>
        <w:t>男生优先）。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b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b/>
          <w:kern w:val="2"/>
          <w:sz w:val="30"/>
          <w:lang w:val="en-US" w:eastAsia="zh-CN"/>
        </w:rPr>
        <w:t>二、基本条件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1、身体健康、五官端正、品行良好，热爱医疗卫生事业，有较强的责任心和事业心。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2、全国普通高等医学院校应届（往届）优秀毕业生、研究生及一本重点院校毕业生优先考虑。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3、具有扎实的专业理论知识和较强的实践技术操作水平。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4、具有较强的语言表达和沟通能力。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5、岗位所需要的其它条件。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b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b/>
          <w:kern w:val="2"/>
          <w:sz w:val="30"/>
          <w:lang w:val="en-US" w:eastAsia="zh-CN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1、报名及提交材料：本人简历、获奖证书、毕业生就业推荐表及其它相关有效证件（原件及复印件）。也可直接登录山东高校毕业生就业信息网报名，网址：http://www.sdbys.cn。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2、组织面试：应聘人员按照通知的时间参加面试，主要测试综合素质、逻辑思维能力、应变能力及综合知识和专业知识的运用等。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3、确定录用后，签定聘用协议，并办理相关人事手续。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b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b/>
          <w:kern w:val="2"/>
          <w:sz w:val="30"/>
          <w:lang w:val="en-US" w:eastAsia="zh-CN"/>
        </w:rPr>
        <w:t>三、待遇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1、硕士研究生列入县财政差额拨款事业单位正式编制,重点、急需专业给予安家费5万元；大学本科毕业生考录后确定正式编制。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2、硕士研究生按档案工资+工作量提奖+绩效工资计发工资，大学本科生按档案工资标准执行。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>3、社会保险及各项福利待遇按国家相关规定执行。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</w:p>
    <w:p>
      <w:pPr>
        <w:ind w:firstLine="0"/>
        <w:jc w:val="center"/>
        <w:rPr>
          <w:rFonts w:hint="eastAsia" w:ascii="仿宋_GB2312" w:hAnsi="仿宋_GB2312" w:eastAsia="仿宋_GB2312"/>
          <w:kern w:val="2"/>
          <w:sz w:val="30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0"/>
          <w:lang w:val="en-US" w:eastAsia="zh-CN"/>
        </w:rPr>
        <w:t xml:space="preserve">                      二0一七年二月二十三日</w:t>
      </w:r>
    </w:p>
    <w:p>
      <w:pPr>
        <w:ind w:firstLine="0"/>
        <w:jc w:val="center"/>
        <w:rPr>
          <w:rFonts w:hint="eastAsia" w:ascii="仿宋_GB2312" w:hAnsi="仿宋_GB2312" w:eastAsia="仿宋_GB2312"/>
          <w:kern w:val="2"/>
          <w:sz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360" w:bottom="1440" w:left="13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4A74"/>
    <w:rsid w:val="0051280E"/>
    <w:rsid w:val="039F16FE"/>
    <w:rsid w:val="060233C6"/>
    <w:rsid w:val="11846BDE"/>
    <w:rsid w:val="18204A74"/>
    <w:rsid w:val="26995BF3"/>
    <w:rsid w:val="3FDC101A"/>
    <w:rsid w:val="5DD71C90"/>
    <w:rsid w:val="6C590B11"/>
    <w:rsid w:val="6E4360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2017-02-23T03:01:00Z</dcterms:created>
  <dc:creator>Administrator</dc:creator>
  <cp:lastModifiedBy>Administrator</cp:lastModifiedBy>
  <cp:lastPrinted>2017-03-07T00:52:00Z</cp:lastPrinted>
  <dcterms:modified xsi:type="dcterms:W3CDTF">2017-03-08T02:53:29Z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